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EFBC6" w14:textId="77777777" w:rsidR="00631D16" w:rsidRPr="007B245C" w:rsidRDefault="00631D16" w:rsidP="00631D16">
      <w:pPr>
        <w:pStyle w:val="RulesHeading1"/>
      </w:pPr>
      <w:bookmarkStart w:id="0" w:name="_Toc396399270"/>
      <w:r w:rsidRPr="007B245C">
        <w:t>CHAPTER  4</w:t>
      </w:r>
      <w:r w:rsidRPr="007B245C">
        <w:tab/>
      </w:r>
      <w:r w:rsidRPr="007B245C">
        <w:tab/>
        <w:t>INDEPENDENT MEDICAL EXAMINER</w:t>
      </w:r>
      <w:bookmarkEnd w:id="0"/>
      <w:r w:rsidRPr="007B245C">
        <w:fldChar w:fldCharType="begin"/>
      </w:r>
      <w:r w:rsidRPr="007B245C">
        <w:instrText>tc  \l 1 " CHAPTER  4</w:instrText>
      </w:r>
      <w:r w:rsidRPr="007B245C">
        <w:tab/>
      </w:r>
      <w:r w:rsidRPr="007B245C">
        <w:tab/>
        <w:instrText>INDEPENDENT MEDICAL EXAMINER "</w:instrText>
      </w:r>
      <w:r w:rsidRPr="007B245C">
        <w:fldChar w:fldCharType="end"/>
      </w:r>
    </w:p>
    <w:p w14:paraId="50CD89E9" w14:textId="77777777" w:rsidR="00631D16" w:rsidRPr="007B245C" w:rsidRDefault="00631D16" w:rsidP="00631D16">
      <w:pPr>
        <w:pStyle w:val="Header"/>
        <w:pBdr>
          <w:bottom w:val="single" w:sz="6" w:space="1" w:color="auto"/>
        </w:pBdr>
        <w:rPr>
          <w:rFonts w:ascii="Times New Roman" w:hAnsi="Times New Roman"/>
          <w:smallCaps/>
          <w:szCs w:val="24"/>
        </w:rPr>
      </w:pPr>
    </w:p>
    <w:p w14:paraId="78308536" w14:textId="77777777" w:rsidR="00631D16" w:rsidRPr="007B245C" w:rsidRDefault="00631D16" w:rsidP="00631D16">
      <w:pPr>
        <w:tabs>
          <w:tab w:val="left" w:pos="720"/>
          <w:tab w:val="left" w:pos="1440"/>
          <w:tab w:val="left" w:pos="2160"/>
          <w:tab w:val="left" w:pos="2880"/>
          <w:tab w:val="left" w:pos="3600"/>
        </w:tabs>
        <w:rPr>
          <w:rFonts w:ascii="Times New Roman" w:hAnsi="Times New Roman"/>
          <w:szCs w:val="24"/>
        </w:rPr>
      </w:pPr>
    </w:p>
    <w:p w14:paraId="78735316" w14:textId="77777777" w:rsidR="00631D16" w:rsidRPr="007B245C" w:rsidRDefault="00631D16" w:rsidP="00631D16">
      <w:pPr>
        <w:widowControl/>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200" w:line="276" w:lineRule="auto"/>
        <w:rPr>
          <w:rFonts w:ascii="Times New Roman" w:eastAsia="Calibri" w:hAnsi="Times New Roman"/>
          <w:b/>
          <w:szCs w:val="24"/>
        </w:rPr>
      </w:pPr>
      <w:r w:rsidRPr="007B245C">
        <w:rPr>
          <w:rFonts w:ascii="Times New Roman" w:eastAsia="Calibri" w:hAnsi="Times New Roman"/>
          <w:b/>
          <w:szCs w:val="24"/>
        </w:rPr>
        <w:t>§ 1.</w:t>
      </w:r>
      <w:r w:rsidRPr="007B245C">
        <w:rPr>
          <w:rFonts w:ascii="Times New Roman" w:eastAsia="Calibri" w:hAnsi="Times New Roman"/>
          <w:b/>
          <w:szCs w:val="24"/>
        </w:rPr>
        <w:tab/>
        <w:t>Creation of Independent Medical Examiner System Pursuant to 39-A M.R.S.A. §312</w:t>
      </w:r>
    </w:p>
    <w:p w14:paraId="7B477789" w14:textId="77777777" w:rsidR="00631D16" w:rsidRPr="007B245C" w:rsidRDefault="00631D16" w:rsidP="00631D16">
      <w:pPr>
        <w:widowControl/>
        <w:tabs>
          <w:tab w:val="left" w:pos="720"/>
          <w:tab w:val="left" w:pos="1440"/>
          <w:tab w:val="left" w:pos="2160"/>
          <w:tab w:val="left" w:pos="2880"/>
          <w:tab w:val="left" w:pos="3600"/>
        </w:tabs>
        <w:spacing w:after="200" w:line="276" w:lineRule="auto"/>
        <w:ind w:left="1440" w:hanging="720"/>
        <w:rPr>
          <w:rFonts w:ascii="Times New Roman" w:eastAsia="Calibri" w:hAnsi="Times New Roman"/>
          <w:szCs w:val="24"/>
        </w:rPr>
      </w:pPr>
      <w:r w:rsidRPr="007B245C">
        <w:rPr>
          <w:rFonts w:ascii="Times New Roman" w:eastAsia="Calibri" w:hAnsi="Times New Roman"/>
          <w:szCs w:val="24"/>
        </w:rPr>
        <w:t>1.</w:t>
      </w:r>
      <w:r w:rsidRPr="007B245C">
        <w:rPr>
          <w:rFonts w:ascii="Times New Roman" w:eastAsia="Calibri" w:hAnsi="Times New Roman"/>
          <w:szCs w:val="24"/>
        </w:rPr>
        <w:tab/>
        <w:t>To be eligible to participate in the Board appointed independent medical examiner program, health care providers must meet the criteria of this subsection.</w:t>
      </w:r>
    </w:p>
    <w:p w14:paraId="7FC1CF68" w14:textId="77777777" w:rsidR="00631D16" w:rsidRPr="007B245C" w:rsidRDefault="00631D16" w:rsidP="00631D16">
      <w:pPr>
        <w:widowControl/>
        <w:tabs>
          <w:tab w:val="left" w:pos="720"/>
          <w:tab w:val="left" w:pos="1440"/>
          <w:tab w:val="left" w:pos="2160"/>
          <w:tab w:val="left" w:pos="2880"/>
          <w:tab w:val="left" w:pos="3600"/>
        </w:tabs>
        <w:spacing w:after="200" w:line="276" w:lineRule="auto"/>
        <w:ind w:left="1440" w:hanging="720"/>
        <w:rPr>
          <w:rFonts w:ascii="Times New Roman" w:eastAsia="Calibri" w:hAnsi="Times New Roman"/>
          <w:szCs w:val="24"/>
        </w:rPr>
      </w:pPr>
      <w:r w:rsidRPr="007B245C">
        <w:rPr>
          <w:rFonts w:ascii="Times New Roman" w:eastAsia="Calibri" w:hAnsi="Times New Roman"/>
          <w:szCs w:val="24"/>
        </w:rPr>
        <w:tab/>
        <w:t>A.</w:t>
      </w:r>
      <w:r w:rsidRPr="007B245C">
        <w:rPr>
          <w:rFonts w:ascii="Times New Roman" w:eastAsia="Calibri" w:hAnsi="Times New Roman"/>
          <w:szCs w:val="24"/>
        </w:rPr>
        <w:tab/>
        <w:t>The provider must be licensed/certified by the State of Maine.</w:t>
      </w:r>
    </w:p>
    <w:p w14:paraId="493EC6BC" w14:textId="77777777" w:rsidR="00631D16" w:rsidRPr="007B245C" w:rsidRDefault="00631D16" w:rsidP="00631D16">
      <w:pPr>
        <w:widowControl/>
        <w:tabs>
          <w:tab w:val="left" w:pos="720"/>
          <w:tab w:val="left" w:pos="1440"/>
          <w:tab w:val="left" w:pos="2160"/>
          <w:tab w:val="left" w:pos="2880"/>
          <w:tab w:val="left" w:pos="3600"/>
        </w:tabs>
        <w:spacing w:after="200" w:line="276" w:lineRule="auto"/>
        <w:ind w:left="2160" w:hanging="1440"/>
        <w:rPr>
          <w:rFonts w:ascii="Times New Roman" w:eastAsia="Calibri" w:hAnsi="Times New Roman"/>
          <w:szCs w:val="24"/>
        </w:rPr>
      </w:pPr>
      <w:r w:rsidRPr="007B245C">
        <w:rPr>
          <w:rFonts w:ascii="Times New Roman" w:eastAsia="Calibri" w:hAnsi="Times New Roman"/>
          <w:szCs w:val="24"/>
        </w:rPr>
        <w:tab/>
        <w:t>B.</w:t>
      </w:r>
      <w:r w:rsidRPr="007B245C">
        <w:rPr>
          <w:rFonts w:ascii="Times New Roman" w:eastAsia="Calibri" w:hAnsi="Times New Roman"/>
          <w:szCs w:val="24"/>
        </w:rPr>
        <w:tab/>
        <w:t>(1)  The provider must have an active, treating practice, or have had an active treating practice within the twenty-four (24) months period preceding appointment as an examiner in an individual case;</w:t>
      </w:r>
    </w:p>
    <w:p w14:paraId="085B012D" w14:textId="77777777" w:rsidR="00631D16" w:rsidRPr="007B245C" w:rsidRDefault="00631D16" w:rsidP="00631D16">
      <w:pPr>
        <w:widowControl/>
        <w:tabs>
          <w:tab w:val="left" w:pos="720"/>
          <w:tab w:val="left" w:pos="1440"/>
          <w:tab w:val="left" w:pos="2160"/>
          <w:tab w:val="left" w:pos="2880"/>
          <w:tab w:val="left" w:pos="3600"/>
        </w:tabs>
        <w:spacing w:after="200" w:line="276" w:lineRule="auto"/>
        <w:ind w:left="2160" w:hanging="1440"/>
        <w:rPr>
          <w:rFonts w:ascii="Times New Roman" w:eastAsia="Calibri" w:hAnsi="Times New Roman"/>
          <w:szCs w:val="24"/>
        </w:rPr>
      </w:pPr>
      <w:r w:rsidRPr="007B245C">
        <w:rPr>
          <w:rFonts w:ascii="Times New Roman" w:eastAsia="Calibri" w:hAnsi="Times New Roman"/>
          <w:szCs w:val="24"/>
        </w:rPr>
        <w:tab/>
      </w:r>
      <w:r w:rsidRPr="007B245C">
        <w:rPr>
          <w:rFonts w:ascii="Times New Roman" w:eastAsia="Calibri" w:hAnsi="Times New Roman"/>
          <w:szCs w:val="24"/>
        </w:rPr>
        <w:tab/>
        <w:t xml:space="preserve">(2)  Be Board certified; and </w:t>
      </w:r>
    </w:p>
    <w:p w14:paraId="2648DDE3" w14:textId="77777777" w:rsidR="00631D16" w:rsidRPr="007B245C" w:rsidRDefault="00631D16" w:rsidP="00631D16">
      <w:pPr>
        <w:widowControl/>
        <w:tabs>
          <w:tab w:val="left" w:pos="720"/>
          <w:tab w:val="left" w:pos="1440"/>
          <w:tab w:val="left" w:pos="2160"/>
          <w:tab w:val="left" w:pos="2880"/>
          <w:tab w:val="left" w:pos="3600"/>
        </w:tabs>
        <w:spacing w:after="200" w:line="276" w:lineRule="auto"/>
        <w:ind w:left="2160" w:hanging="1440"/>
        <w:rPr>
          <w:rFonts w:ascii="Times New Roman" w:eastAsia="Calibri" w:hAnsi="Times New Roman"/>
          <w:szCs w:val="24"/>
        </w:rPr>
      </w:pPr>
      <w:r w:rsidRPr="007B245C">
        <w:rPr>
          <w:rFonts w:ascii="Times New Roman" w:eastAsia="Calibri" w:hAnsi="Times New Roman"/>
          <w:szCs w:val="24"/>
        </w:rPr>
        <w:tab/>
      </w:r>
      <w:r w:rsidRPr="007B245C">
        <w:rPr>
          <w:rFonts w:ascii="Times New Roman" w:eastAsia="Calibri" w:hAnsi="Times New Roman"/>
          <w:szCs w:val="24"/>
        </w:rPr>
        <w:tab/>
        <w:t xml:space="preserve">(3)  Demonstrate experience in the treatment of work-related injuries.  </w:t>
      </w:r>
    </w:p>
    <w:p w14:paraId="54750C54" w14:textId="77777777" w:rsidR="00631D16" w:rsidRPr="007B245C" w:rsidRDefault="00631D16" w:rsidP="00631D16">
      <w:pPr>
        <w:widowControl/>
        <w:tabs>
          <w:tab w:val="left" w:pos="720"/>
          <w:tab w:val="left" w:pos="1440"/>
          <w:tab w:val="left" w:pos="2160"/>
          <w:tab w:val="left" w:pos="2880"/>
          <w:tab w:val="left" w:pos="3600"/>
        </w:tabs>
        <w:spacing w:after="200" w:line="276" w:lineRule="auto"/>
        <w:ind w:left="2160" w:hanging="1440"/>
        <w:rPr>
          <w:rFonts w:ascii="Times New Roman" w:eastAsia="Calibri" w:hAnsi="Times New Roman"/>
          <w:szCs w:val="24"/>
        </w:rPr>
      </w:pPr>
      <w:r w:rsidRPr="007B245C">
        <w:rPr>
          <w:rFonts w:ascii="Times New Roman" w:eastAsia="Calibri" w:hAnsi="Times New Roman"/>
          <w:szCs w:val="24"/>
        </w:rPr>
        <w:tab/>
      </w:r>
      <w:r w:rsidRPr="007B245C">
        <w:rPr>
          <w:rFonts w:ascii="Times New Roman" w:eastAsia="Calibri" w:hAnsi="Times New Roman"/>
          <w:szCs w:val="24"/>
        </w:rPr>
        <w:tab/>
        <w:t>For purposes of this chapter, “active, treating practice” means the provider has direct involvement in evaluation, diagnosis and treatment of patients on a frequent and regular basis in their specific field of expertise.</w:t>
      </w:r>
    </w:p>
    <w:p w14:paraId="2966DB91" w14:textId="77777777" w:rsidR="00631D16" w:rsidRPr="007B245C" w:rsidRDefault="00631D16" w:rsidP="00631D16">
      <w:pPr>
        <w:widowControl/>
        <w:tabs>
          <w:tab w:val="left" w:pos="720"/>
          <w:tab w:val="left" w:pos="1440"/>
          <w:tab w:val="left" w:pos="2160"/>
          <w:tab w:val="left" w:pos="2880"/>
          <w:tab w:val="left" w:pos="3600"/>
        </w:tabs>
        <w:spacing w:after="200" w:line="276" w:lineRule="auto"/>
        <w:ind w:left="2160" w:hanging="1440"/>
        <w:rPr>
          <w:rFonts w:ascii="Times New Roman" w:eastAsia="Calibri" w:hAnsi="Times New Roman"/>
          <w:szCs w:val="24"/>
        </w:rPr>
      </w:pPr>
      <w:r w:rsidRPr="007B245C">
        <w:rPr>
          <w:rFonts w:ascii="Times New Roman" w:eastAsia="Calibri" w:hAnsi="Times New Roman"/>
          <w:szCs w:val="24"/>
        </w:rPr>
        <w:tab/>
        <w:t>C.</w:t>
      </w:r>
      <w:r w:rsidRPr="007B245C">
        <w:rPr>
          <w:rFonts w:ascii="Times New Roman" w:eastAsia="Calibri" w:hAnsi="Times New Roman"/>
          <w:szCs w:val="24"/>
        </w:rPr>
        <w:tab/>
        <w:t>The provider must demonstrate superior qualifications and experience in their particular fields of expertise.</w:t>
      </w:r>
    </w:p>
    <w:p w14:paraId="6A02167A" w14:textId="77777777" w:rsidR="00631D16" w:rsidRPr="007B245C" w:rsidRDefault="00631D16" w:rsidP="00631D16">
      <w:pPr>
        <w:widowControl/>
        <w:tabs>
          <w:tab w:val="left" w:pos="720"/>
          <w:tab w:val="left" w:pos="1440"/>
          <w:tab w:val="left" w:pos="2160"/>
          <w:tab w:val="left" w:pos="2880"/>
          <w:tab w:val="left" w:pos="3600"/>
        </w:tabs>
        <w:spacing w:after="200" w:line="276" w:lineRule="auto"/>
        <w:ind w:left="1440" w:hanging="720"/>
        <w:rPr>
          <w:rFonts w:ascii="Times New Roman" w:eastAsia="Calibri" w:hAnsi="Times New Roman"/>
          <w:szCs w:val="24"/>
        </w:rPr>
      </w:pPr>
      <w:r w:rsidRPr="007B245C">
        <w:rPr>
          <w:rFonts w:ascii="Times New Roman" w:eastAsia="Calibri" w:hAnsi="Times New Roman"/>
          <w:szCs w:val="24"/>
        </w:rPr>
        <w:t>2.</w:t>
      </w:r>
      <w:r w:rsidRPr="007B245C">
        <w:rPr>
          <w:rFonts w:ascii="Times New Roman" w:eastAsia="Calibri" w:hAnsi="Times New Roman"/>
          <w:szCs w:val="24"/>
        </w:rPr>
        <w:tab/>
        <w:t>Participation of health care providers in the independent medical examiner system is limited to those providers practicing in health care specialties most commonly used by injured employees. The Executive Director or the Executive Director’s designee may submit for the Board’s review and approval a breakdown of specialists within the 50 slots. Geography may also be a consideration for initial appointment.</w:t>
      </w:r>
    </w:p>
    <w:p w14:paraId="6D252720" w14:textId="77777777" w:rsidR="00631D16" w:rsidRPr="007B245C" w:rsidRDefault="00631D16" w:rsidP="00631D16">
      <w:pPr>
        <w:widowControl/>
        <w:tabs>
          <w:tab w:val="left" w:pos="720"/>
          <w:tab w:val="left" w:pos="1440"/>
          <w:tab w:val="left" w:pos="2160"/>
          <w:tab w:val="left" w:pos="2880"/>
          <w:tab w:val="left" w:pos="3600"/>
        </w:tabs>
        <w:spacing w:after="200" w:line="276" w:lineRule="auto"/>
        <w:ind w:left="1440" w:hanging="720"/>
        <w:rPr>
          <w:rFonts w:ascii="Times New Roman" w:eastAsia="Calibri" w:hAnsi="Times New Roman"/>
          <w:szCs w:val="24"/>
        </w:rPr>
      </w:pPr>
      <w:r w:rsidRPr="007B245C">
        <w:rPr>
          <w:rFonts w:ascii="Times New Roman" w:eastAsia="Calibri" w:hAnsi="Times New Roman"/>
          <w:szCs w:val="24"/>
        </w:rPr>
        <w:t>3.</w:t>
      </w:r>
      <w:r w:rsidRPr="007B245C">
        <w:rPr>
          <w:rFonts w:ascii="Times New Roman" w:eastAsia="Calibri" w:hAnsi="Times New Roman"/>
          <w:szCs w:val="24"/>
        </w:rPr>
        <w:tab/>
        <w:t>All health care providers interested in participating in the independent medical examiner system must file an updated curriculum vitae with the Office of Medical/Rehabilitation Services, Workers’ Compensation Board, 27 State House Station, Augusta, Maine 04333. Examiner candidate applications are public information. The Board may request additional information from applicants.</w:t>
      </w:r>
    </w:p>
    <w:p w14:paraId="455AEA8A" w14:textId="77777777" w:rsidR="00631D16" w:rsidRPr="007B245C" w:rsidRDefault="00631D16" w:rsidP="00631D16">
      <w:pPr>
        <w:widowControl/>
        <w:tabs>
          <w:tab w:val="left" w:pos="720"/>
          <w:tab w:val="left" w:pos="1440"/>
          <w:tab w:val="left" w:pos="2160"/>
          <w:tab w:val="left" w:pos="2880"/>
          <w:tab w:val="left" w:pos="3600"/>
        </w:tabs>
        <w:spacing w:after="200" w:line="276" w:lineRule="auto"/>
        <w:ind w:left="1440" w:hanging="720"/>
        <w:rPr>
          <w:rFonts w:ascii="Times New Roman" w:eastAsia="Calibri" w:hAnsi="Times New Roman"/>
          <w:szCs w:val="24"/>
        </w:rPr>
      </w:pPr>
      <w:r w:rsidRPr="007B245C">
        <w:rPr>
          <w:rFonts w:ascii="Times New Roman" w:eastAsia="Calibri" w:hAnsi="Times New Roman"/>
          <w:szCs w:val="24"/>
        </w:rPr>
        <w:t>4.</w:t>
      </w:r>
      <w:r w:rsidRPr="007B245C">
        <w:rPr>
          <w:rFonts w:ascii="Times New Roman" w:eastAsia="Calibri" w:hAnsi="Times New Roman"/>
          <w:szCs w:val="24"/>
        </w:rPr>
        <w:tab/>
        <w:t xml:space="preserve">The Executive Director or the Executive Director’s designee will annually review the performance of independent medical examiners for compliance with the criteria contained in this subsection and forward any concerns in a report to the Board. Failure by the examiner to adhere to the following criteria may result in their removal at any time from the independent medical examiner list. Affirmative </w:t>
      </w:r>
      <w:r w:rsidRPr="007B245C">
        <w:rPr>
          <w:rFonts w:ascii="Times New Roman" w:eastAsia="Calibri" w:hAnsi="Times New Roman"/>
          <w:szCs w:val="24"/>
        </w:rPr>
        <w:lastRenderedPageBreak/>
        <w:t>action of the Board is necessary to remove an independent medical examiner from the panel.</w:t>
      </w:r>
    </w:p>
    <w:p w14:paraId="4BE489F9" w14:textId="77777777" w:rsidR="00631D16" w:rsidRPr="007B245C" w:rsidRDefault="00631D16" w:rsidP="00631D16">
      <w:pPr>
        <w:keepNext/>
        <w:widowControl/>
        <w:tabs>
          <w:tab w:val="left" w:pos="720"/>
          <w:tab w:val="left" w:pos="1440"/>
          <w:tab w:val="left" w:pos="2160"/>
          <w:tab w:val="left" w:pos="2880"/>
          <w:tab w:val="left" w:pos="3600"/>
        </w:tabs>
        <w:spacing w:after="200" w:line="276" w:lineRule="auto"/>
        <w:ind w:left="360"/>
        <w:rPr>
          <w:rFonts w:ascii="Times New Roman" w:eastAsia="Calibri" w:hAnsi="Times New Roman"/>
          <w:szCs w:val="24"/>
        </w:rPr>
      </w:pPr>
      <w:r w:rsidRPr="007B245C">
        <w:rPr>
          <w:rFonts w:ascii="Times New Roman" w:eastAsia="Calibri" w:hAnsi="Times New Roman"/>
          <w:szCs w:val="24"/>
        </w:rPr>
        <w:tab/>
      </w:r>
      <w:r w:rsidRPr="007B245C">
        <w:rPr>
          <w:rFonts w:ascii="Times New Roman" w:eastAsia="Calibri" w:hAnsi="Times New Roman"/>
          <w:szCs w:val="24"/>
        </w:rPr>
        <w:tab/>
        <w:t>A.</w:t>
      </w:r>
      <w:r w:rsidRPr="007B245C">
        <w:rPr>
          <w:rFonts w:ascii="Times New Roman" w:eastAsia="Calibri" w:hAnsi="Times New Roman"/>
          <w:szCs w:val="24"/>
        </w:rPr>
        <w:tab/>
        <w:t>Reports must be submitted in a timely manner.</w:t>
      </w:r>
    </w:p>
    <w:p w14:paraId="198DE722" w14:textId="77777777" w:rsidR="00631D16" w:rsidRPr="007B245C" w:rsidRDefault="00631D16" w:rsidP="00631D16">
      <w:pPr>
        <w:widowControl/>
        <w:tabs>
          <w:tab w:val="left" w:pos="720"/>
          <w:tab w:val="left" w:pos="1440"/>
          <w:tab w:val="left" w:pos="2160"/>
          <w:tab w:val="left" w:pos="2880"/>
          <w:tab w:val="left" w:pos="3600"/>
        </w:tabs>
        <w:spacing w:after="200" w:line="276" w:lineRule="auto"/>
        <w:ind w:left="2160" w:hanging="1440"/>
        <w:rPr>
          <w:rFonts w:ascii="Times New Roman" w:eastAsia="Calibri" w:hAnsi="Times New Roman"/>
          <w:szCs w:val="24"/>
        </w:rPr>
      </w:pPr>
      <w:r w:rsidRPr="007B245C">
        <w:rPr>
          <w:rFonts w:ascii="Times New Roman" w:eastAsia="Calibri" w:hAnsi="Times New Roman"/>
          <w:szCs w:val="24"/>
        </w:rPr>
        <w:tab/>
        <w:t>B.</w:t>
      </w:r>
      <w:r w:rsidRPr="007B245C">
        <w:rPr>
          <w:rFonts w:ascii="Times New Roman" w:eastAsia="Calibri" w:hAnsi="Times New Roman"/>
          <w:szCs w:val="24"/>
        </w:rPr>
        <w:tab/>
        <w:t>Reports must contain the examiner’s findings on the medical issues raised by the case.</w:t>
      </w:r>
    </w:p>
    <w:p w14:paraId="73E8B660" w14:textId="77777777" w:rsidR="00631D16" w:rsidRPr="007B245C" w:rsidRDefault="00631D16" w:rsidP="00631D16">
      <w:pPr>
        <w:widowControl/>
        <w:tabs>
          <w:tab w:val="left" w:pos="720"/>
          <w:tab w:val="left" w:pos="1440"/>
          <w:tab w:val="left" w:pos="2160"/>
          <w:tab w:val="left" w:pos="2880"/>
          <w:tab w:val="left" w:pos="3600"/>
        </w:tabs>
        <w:spacing w:after="200" w:line="276" w:lineRule="auto"/>
        <w:ind w:left="2160" w:hanging="1440"/>
        <w:rPr>
          <w:rFonts w:ascii="Times New Roman" w:eastAsia="Calibri" w:hAnsi="Times New Roman"/>
          <w:szCs w:val="24"/>
        </w:rPr>
      </w:pPr>
      <w:r w:rsidRPr="007B245C">
        <w:rPr>
          <w:rFonts w:ascii="Times New Roman" w:eastAsia="Calibri" w:hAnsi="Times New Roman"/>
          <w:szCs w:val="24"/>
        </w:rPr>
        <w:tab/>
        <w:t>C.</w:t>
      </w:r>
      <w:r w:rsidRPr="007B245C">
        <w:rPr>
          <w:rFonts w:ascii="Times New Roman" w:eastAsia="Calibri" w:hAnsi="Times New Roman"/>
          <w:szCs w:val="24"/>
        </w:rPr>
        <w:tab/>
        <w:t>Reports must provide a description of findings sufficient to explain the medical basis of those findings.</w:t>
      </w:r>
    </w:p>
    <w:p w14:paraId="41A97577" w14:textId="77777777" w:rsidR="00631D16" w:rsidRPr="007B245C" w:rsidRDefault="00631D16" w:rsidP="00631D16">
      <w:pPr>
        <w:widowControl/>
        <w:tabs>
          <w:tab w:val="left" w:pos="720"/>
          <w:tab w:val="left" w:pos="1440"/>
          <w:tab w:val="left" w:pos="2160"/>
          <w:tab w:val="left" w:pos="2880"/>
          <w:tab w:val="left" w:pos="3600"/>
        </w:tabs>
        <w:spacing w:after="200" w:line="276" w:lineRule="auto"/>
        <w:ind w:left="2160" w:hanging="1440"/>
        <w:rPr>
          <w:rFonts w:ascii="Times New Roman" w:eastAsia="Calibri" w:hAnsi="Times New Roman"/>
          <w:szCs w:val="24"/>
        </w:rPr>
      </w:pPr>
      <w:r w:rsidRPr="007B245C">
        <w:rPr>
          <w:rFonts w:ascii="Times New Roman" w:eastAsia="Calibri" w:hAnsi="Times New Roman"/>
          <w:szCs w:val="24"/>
        </w:rPr>
        <w:tab/>
        <w:t>D.</w:t>
      </w:r>
      <w:r w:rsidRPr="007B245C">
        <w:rPr>
          <w:rFonts w:ascii="Times New Roman" w:eastAsia="Calibri" w:hAnsi="Times New Roman"/>
          <w:szCs w:val="24"/>
        </w:rPr>
        <w:tab/>
        <w:t>Examiners must consider all of the medical evidence submitted by the parties.</w:t>
      </w:r>
    </w:p>
    <w:p w14:paraId="1D0C21FC" w14:textId="5068A032" w:rsidR="00631D16" w:rsidRDefault="00631D16" w:rsidP="00631D16">
      <w:pPr>
        <w:widowControl/>
        <w:tabs>
          <w:tab w:val="left" w:pos="720"/>
          <w:tab w:val="left" w:pos="1440"/>
          <w:tab w:val="left" w:pos="2160"/>
          <w:tab w:val="left" w:pos="2880"/>
          <w:tab w:val="left" w:pos="3600"/>
        </w:tabs>
        <w:spacing w:after="200" w:line="276" w:lineRule="auto"/>
        <w:ind w:left="2160" w:hanging="1440"/>
        <w:rPr>
          <w:rFonts w:ascii="Times New Roman" w:eastAsia="Calibri" w:hAnsi="Times New Roman"/>
          <w:szCs w:val="24"/>
        </w:rPr>
      </w:pPr>
      <w:r w:rsidRPr="007B245C">
        <w:rPr>
          <w:rFonts w:ascii="Times New Roman" w:eastAsia="Calibri" w:hAnsi="Times New Roman"/>
          <w:szCs w:val="24"/>
        </w:rPr>
        <w:tab/>
        <w:t>E.</w:t>
      </w:r>
      <w:r w:rsidRPr="007B245C">
        <w:rPr>
          <w:rFonts w:ascii="Times New Roman" w:eastAsia="Calibri" w:hAnsi="Times New Roman"/>
          <w:szCs w:val="24"/>
        </w:rPr>
        <w:tab/>
        <w:t>Examiners must act in compliance with the requirements of the law and these regulations.</w:t>
      </w:r>
    </w:p>
    <w:p w14:paraId="58D679CD" w14:textId="04EBCE66" w:rsidR="00631D16" w:rsidRPr="007B245C" w:rsidRDefault="00631D16" w:rsidP="00631D16">
      <w:pPr>
        <w:widowControl/>
        <w:tabs>
          <w:tab w:val="left" w:pos="720"/>
          <w:tab w:val="left" w:pos="1440"/>
          <w:tab w:val="left" w:pos="2160"/>
          <w:tab w:val="left" w:pos="2880"/>
          <w:tab w:val="left" w:pos="3600"/>
        </w:tabs>
        <w:spacing w:after="200" w:line="276" w:lineRule="auto"/>
        <w:ind w:left="2160" w:hanging="1440"/>
        <w:rPr>
          <w:rFonts w:ascii="Times New Roman" w:eastAsia="Calibri" w:hAnsi="Times New Roman"/>
          <w:szCs w:val="24"/>
        </w:rPr>
      </w:pPr>
      <w:r>
        <w:rPr>
          <w:rFonts w:ascii="Times New Roman" w:eastAsia="Calibri" w:hAnsi="Times New Roman"/>
          <w:szCs w:val="24"/>
        </w:rPr>
        <w:tab/>
        <w:t>F.</w:t>
      </w:r>
      <w:r>
        <w:rPr>
          <w:rFonts w:ascii="Times New Roman" w:eastAsia="Calibri" w:hAnsi="Times New Roman"/>
          <w:szCs w:val="24"/>
        </w:rPr>
        <w:tab/>
      </w:r>
      <w:r w:rsidRPr="009E3558">
        <w:rPr>
          <w:rFonts w:ascii="Times New Roman" w:hAnsi="Times New Roman"/>
        </w:rPr>
        <w:t>Examiners must provide independent, impartial, and objective medical findings in cases assigned to them.</w:t>
      </w:r>
    </w:p>
    <w:p w14:paraId="75808C85" w14:textId="77777777" w:rsidR="00D83940" w:rsidRDefault="00D83940"/>
    <w:p w14:paraId="39EE9968" w14:textId="77777777" w:rsidR="00D83940" w:rsidRDefault="00D83940" w:rsidP="00D83940">
      <w:pPr>
        <w:pBdr>
          <w:bottom w:val="single" w:sz="4" w:space="1" w:color="auto"/>
        </w:pBdr>
      </w:pPr>
    </w:p>
    <w:p w14:paraId="149BFBBB" w14:textId="77777777" w:rsidR="00D83940" w:rsidRDefault="00D83940"/>
    <w:p w14:paraId="73DFA520" w14:textId="77777777" w:rsidR="007D0288" w:rsidRPr="0006429E" w:rsidRDefault="007D0288" w:rsidP="007D0288">
      <w:pPr>
        <w:tabs>
          <w:tab w:val="left" w:pos="720"/>
          <w:tab w:val="left" w:pos="1440"/>
          <w:tab w:val="left" w:pos="2160"/>
          <w:tab w:val="left" w:pos="2880"/>
          <w:tab w:val="left" w:pos="3600"/>
        </w:tabs>
        <w:rPr>
          <w:sz w:val="22"/>
          <w:szCs w:val="22"/>
        </w:rPr>
      </w:pPr>
      <w:r w:rsidRPr="0006429E">
        <w:rPr>
          <w:sz w:val="22"/>
          <w:szCs w:val="22"/>
        </w:rPr>
        <w:t>ST</w:t>
      </w:r>
      <w:r>
        <w:rPr>
          <w:sz w:val="22"/>
          <w:szCs w:val="22"/>
        </w:rPr>
        <w:t>ATUTORY AUTHORITY: 39-A M.R.S.</w:t>
      </w:r>
      <w:r w:rsidRPr="0006429E">
        <w:rPr>
          <w:sz w:val="22"/>
          <w:szCs w:val="22"/>
        </w:rPr>
        <w:t xml:space="preserve"> §</w:t>
      </w:r>
      <w:r>
        <w:rPr>
          <w:sz w:val="22"/>
          <w:szCs w:val="22"/>
        </w:rPr>
        <w:t xml:space="preserve">§ 101 </w:t>
      </w:r>
      <w:r w:rsidRPr="00E72C17">
        <w:rPr>
          <w:i/>
          <w:sz w:val="22"/>
          <w:szCs w:val="22"/>
        </w:rPr>
        <w:t>et seq.</w:t>
      </w:r>
    </w:p>
    <w:p w14:paraId="65CEBD80" w14:textId="77777777" w:rsidR="007D0288" w:rsidRPr="0006429E" w:rsidRDefault="007D0288" w:rsidP="007D0288">
      <w:pPr>
        <w:tabs>
          <w:tab w:val="left" w:pos="720"/>
          <w:tab w:val="left" w:pos="1440"/>
          <w:tab w:val="left" w:pos="2160"/>
          <w:tab w:val="left" w:pos="2880"/>
          <w:tab w:val="left" w:pos="3600"/>
        </w:tabs>
        <w:rPr>
          <w:sz w:val="22"/>
          <w:szCs w:val="22"/>
        </w:rPr>
      </w:pPr>
    </w:p>
    <w:p w14:paraId="4748C186" w14:textId="77777777" w:rsidR="007D0288" w:rsidRPr="0006429E" w:rsidRDefault="007D0288" w:rsidP="007D0288">
      <w:pPr>
        <w:tabs>
          <w:tab w:val="left" w:pos="-720"/>
        </w:tabs>
        <w:rPr>
          <w:sz w:val="22"/>
          <w:szCs w:val="22"/>
        </w:rPr>
      </w:pPr>
      <w:r w:rsidRPr="0006429E">
        <w:rPr>
          <w:sz w:val="22"/>
          <w:szCs w:val="22"/>
        </w:rPr>
        <w:t>EFFECTIVE DATE:</w:t>
      </w:r>
    </w:p>
    <w:p w14:paraId="4D350C58" w14:textId="77777777" w:rsidR="007D0288" w:rsidRPr="0006429E" w:rsidRDefault="007D0288" w:rsidP="007D0288">
      <w:pPr>
        <w:tabs>
          <w:tab w:val="left" w:pos="-720"/>
        </w:tabs>
        <w:rPr>
          <w:sz w:val="22"/>
          <w:szCs w:val="22"/>
        </w:rPr>
      </w:pPr>
      <w:r w:rsidRPr="0006429E">
        <w:rPr>
          <w:sz w:val="22"/>
          <w:szCs w:val="22"/>
        </w:rPr>
        <w:tab/>
        <w:t>January 13, 1996</w:t>
      </w:r>
    </w:p>
    <w:p w14:paraId="07275D92" w14:textId="77777777" w:rsidR="007D0288" w:rsidRPr="0006429E" w:rsidRDefault="007D0288" w:rsidP="007D0288">
      <w:pPr>
        <w:tabs>
          <w:tab w:val="left" w:pos="-720"/>
        </w:tabs>
        <w:rPr>
          <w:sz w:val="22"/>
          <w:szCs w:val="22"/>
        </w:rPr>
      </w:pPr>
    </w:p>
    <w:p w14:paraId="0C3D561A" w14:textId="77777777" w:rsidR="007D0288" w:rsidRPr="0006429E" w:rsidRDefault="007D0288" w:rsidP="007D0288">
      <w:pPr>
        <w:tabs>
          <w:tab w:val="left" w:pos="-720"/>
        </w:tabs>
        <w:rPr>
          <w:sz w:val="22"/>
          <w:szCs w:val="22"/>
        </w:rPr>
      </w:pPr>
      <w:r w:rsidRPr="0006429E">
        <w:rPr>
          <w:sz w:val="22"/>
          <w:szCs w:val="22"/>
        </w:rPr>
        <w:t>EFFECTIVE DATE (ELECTRONIC CONVERSION):</w:t>
      </w:r>
    </w:p>
    <w:p w14:paraId="281CCF6E" w14:textId="77777777" w:rsidR="007D0288" w:rsidRPr="0006429E" w:rsidRDefault="007D0288" w:rsidP="007D0288">
      <w:pPr>
        <w:tabs>
          <w:tab w:val="left" w:pos="-720"/>
        </w:tabs>
        <w:rPr>
          <w:sz w:val="22"/>
          <w:szCs w:val="22"/>
        </w:rPr>
      </w:pPr>
      <w:r w:rsidRPr="0006429E">
        <w:rPr>
          <w:sz w:val="22"/>
          <w:szCs w:val="22"/>
        </w:rPr>
        <w:tab/>
        <w:t>April 28, 1996</w:t>
      </w:r>
    </w:p>
    <w:p w14:paraId="744E7A56" w14:textId="77777777" w:rsidR="007D0288" w:rsidRPr="0006429E" w:rsidRDefault="007D0288" w:rsidP="007D0288">
      <w:pPr>
        <w:tabs>
          <w:tab w:val="left" w:pos="-720"/>
        </w:tabs>
        <w:rPr>
          <w:sz w:val="22"/>
          <w:szCs w:val="22"/>
        </w:rPr>
      </w:pPr>
    </w:p>
    <w:p w14:paraId="01B82B1C" w14:textId="77777777" w:rsidR="007D0288" w:rsidRPr="0006429E" w:rsidRDefault="007D0288" w:rsidP="007D0288">
      <w:pPr>
        <w:tabs>
          <w:tab w:val="left" w:pos="-720"/>
        </w:tabs>
        <w:ind w:left="720" w:hanging="720"/>
        <w:rPr>
          <w:sz w:val="22"/>
          <w:szCs w:val="22"/>
        </w:rPr>
      </w:pPr>
      <w:r w:rsidRPr="0006429E">
        <w:rPr>
          <w:sz w:val="22"/>
          <w:szCs w:val="22"/>
        </w:rPr>
        <w:t>NON-SUBSTANTIVE CORRECTIONS:</w:t>
      </w:r>
    </w:p>
    <w:p w14:paraId="115A7A03" w14:textId="77777777" w:rsidR="007D0288" w:rsidRPr="0006429E" w:rsidRDefault="007D0288" w:rsidP="007D0288">
      <w:pPr>
        <w:tabs>
          <w:tab w:val="left" w:pos="-720"/>
        </w:tabs>
        <w:ind w:left="720" w:hanging="720"/>
        <w:rPr>
          <w:sz w:val="22"/>
          <w:szCs w:val="22"/>
        </w:rPr>
      </w:pPr>
      <w:r w:rsidRPr="0006429E">
        <w:rPr>
          <w:sz w:val="22"/>
          <w:szCs w:val="22"/>
        </w:rPr>
        <w:tab/>
        <w:t>September 12 and October 9, 1996 -- header added, minor spelling and format</w:t>
      </w:r>
      <w:r>
        <w:rPr>
          <w:sz w:val="22"/>
          <w:szCs w:val="22"/>
        </w:rPr>
        <w:t>ting</w:t>
      </w:r>
    </w:p>
    <w:p w14:paraId="57077858" w14:textId="77777777" w:rsidR="007D0288" w:rsidRPr="0006429E" w:rsidRDefault="007D0288" w:rsidP="007D0288">
      <w:pPr>
        <w:tabs>
          <w:tab w:val="left" w:pos="720"/>
          <w:tab w:val="left" w:pos="1440"/>
          <w:tab w:val="left" w:pos="2160"/>
          <w:tab w:val="left" w:pos="2880"/>
          <w:tab w:val="left" w:pos="3600"/>
        </w:tabs>
        <w:rPr>
          <w:sz w:val="22"/>
          <w:szCs w:val="22"/>
        </w:rPr>
      </w:pPr>
    </w:p>
    <w:p w14:paraId="54A09BBD" w14:textId="77777777" w:rsidR="007D0288" w:rsidRPr="0006429E" w:rsidRDefault="007D0288" w:rsidP="007D0288">
      <w:pPr>
        <w:tabs>
          <w:tab w:val="left" w:pos="720"/>
          <w:tab w:val="left" w:pos="1440"/>
          <w:tab w:val="left" w:pos="2160"/>
          <w:tab w:val="left" w:pos="2880"/>
          <w:tab w:val="left" w:pos="3600"/>
        </w:tabs>
        <w:rPr>
          <w:sz w:val="22"/>
          <w:szCs w:val="22"/>
        </w:rPr>
      </w:pPr>
      <w:r w:rsidRPr="0006429E">
        <w:rPr>
          <w:sz w:val="22"/>
          <w:szCs w:val="22"/>
        </w:rPr>
        <w:t>AMENDED:</w:t>
      </w:r>
    </w:p>
    <w:p w14:paraId="30837E59" w14:textId="77777777" w:rsidR="007D0288" w:rsidRPr="0006429E" w:rsidRDefault="007D0288" w:rsidP="007D0288">
      <w:pPr>
        <w:tabs>
          <w:tab w:val="left" w:pos="720"/>
          <w:tab w:val="left" w:pos="1440"/>
          <w:tab w:val="left" w:pos="2160"/>
          <w:tab w:val="left" w:pos="2880"/>
          <w:tab w:val="left" w:pos="3600"/>
        </w:tabs>
        <w:rPr>
          <w:sz w:val="22"/>
          <w:szCs w:val="22"/>
        </w:rPr>
      </w:pPr>
      <w:r w:rsidRPr="0006429E">
        <w:rPr>
          <w:sz w:val="22"/>
          <w:szCs w:val="22"/>
        </w:rPr>
        <w:tab/>
        <w:t>November 1, 2001</w:t>
      </w:r>
    </w:p>
    <w:p w14:paraId="3F92EA42" w14:textId="77777777" w:rsidR="007D0288" w:rsidRPr="0006429E" w:rsidRDefault="007D0288" w:rsidP="007D0288">
      <w:pPr>
        <w:tabs>
          <w:tab w:val="left" w:pos="720"/>
          <w:tab w:val="left" w:pos="1440"/>
          <w:tab w:val="left" w:pos="2160"/>
          <w:tab w:val="left" w:pos="2880"/>
          <w:tab w:val="left" w:pos="3600"/>
        </w:tabs>
        <w:rPr>
          <w:sz w:val="22"/>
          <w:szCs w:val="22"/>
        </w:rPr>
      </w:pPr>
    </w:p>
    <w:p w14:paraId="0231BC39" w14:textId="77777777" w:rsidR="007D0288" w:rsidRPr="0006429E" w:rsidRDefault="007D0288" w:rsidP="007D0288">
      <w:pPr>
        <w:tabs>
          <w:tab w:val="left" w:pos="720"/>
          <w:tab w:val="left" w:pos="1440"/>
          <w:tab w:val="left" w:pos="2160"/>
          <w:tab w:val="left" w:pos="2880"/>
          <w:tab w:val="left" w:pos="3600"/>
        </w:tabs>
        <w:rPr>
          <w:sz w:val="22"/>
          <w:szCs w:val="22"/>
        </w:rPr>
      </w:pPr>
      <w:r w:rsidRPr="0006429E">
        <w:rPr>
          <w:sz w:val="22"/>
          <w:szCs w:val="22"/>
        </w:rPr>
        <w:t>NON-SUBSTANTIVE CORRECTIONS:</w:t>
      </w:r>
    </w:p>
    <w:p w14:paraId="490E8CCE" w14:textId="77777777" w:rsidR="007D0288" w:rsidRPr="0006429E" w:rsidRDefault="007D0288" w:rsidP="007D0288">
      <w:pPr>
        <w:tabs>
          <w:tab w:val="left" w:pos="720"/>
          <w:tab w:val="left" w:pos="1440"/>
          <w:tab w:val="left" w:pos="2160"/>
          <w:tab w:val="left" w:pos="2880"/>
          <w:tab w:val="left" w:pos="3600"/>
        </w:tabs>
        <w:rPr>
          <w:sz w:val="22"/>
          <w:szCs w:val="22"/>
        </w:rPr>
      </w:pPr>
      <w:r w:rsidRPr="0006429E">
        <w:rPr>
          <w:sz w:val="22"/>
          <w:szCs w:val="22"/>
        </w:rPr>
        <w:tab/>
        <w:t>January 8</w:t>
      </w:r>
      <w:r>
        <w:rPr>
          <w:sz w:val="22"/>
          <w:szCs w:val="22"/>
        </w:rPr>
        <w:t>, 2003 - character spacing only</w:t>
      </w:r>
    </w:p>
    <w:p w14:paraId="4E3C9A39" w14:textId="77777777" w:rsidR="007D0288" w:rsidRDefault="007D0288" w:rsidP="007D0288">
      <w:pPr>
        <w:tabs>
          <w:tab w:val="left" w:pos="720"/>
          <w:tab w:val="left" w:pos="1440"/>
          <w:tab w:val="left" w:pos="2160"/>
          <w:tab w:val="left" w:pos="2880"/>
          <w:tab w:val="left" w:pos="3600"/>
        </w:tabs>
        <w:rPr>
          <w:sz w:val="22"/>
          <w:szCs w:val="22"/>
        </w:rPr>
      </w:pPr>
      <w:r w:rsidRPr="0006429E">
        <w:rPr>
          <w:sz w:val="22"/>
          <w:szCs w:val="22"/>
        </w:rPr>
        <w:tab/>
        <w:t>March 17, 2004 -</w:t>
      </w:r>
      <w:r>
        <w:rPr>
          <w:sz w:val="22"/>
          <w:szCs w:val="22"/>
        </w:rPr>
        <w:t xml:space="preserve"> numbering and punctuation only</w:t>
      </w:r>
    </w:p>
    <w:p w14:paraId="05F54FF5" w14:textId="77777777" w:rsidR="007D0288" w:rsidRDefault="007D0288" w:rsidP="007D0288">
      <w:pPr>
        <w:tabs>
          <w:tab w:val="left" w:pos="720"/>
          <w:tab w:val="left" w:pos="1440"/>
          <w:tab w:val="left" w:pos="2160"/>
          <w:tab w:val="left" w:pos="2880"/>
          <w:tab w:val="left" w:pos="3600"/>
        </w:tabs>
        <w:rPr>
          <w:sz w:val="22"/>
          <w:szCs w:val="22"/>
        </w:rPr>
      </w:pPr>
    </w:p>
    <w:p w14:paraId="2F0915EA" w14:textId="77777777" w:rsidR="007D0288" w:rsidRDefault="007D0288" w:rsidP="007D0288">
      <w:pPr>
        <w:tabs>
          <w:tab w:val="left" w:pos="720"/>
          <w:tab w:val="left" w:pos="1440"/>
          <w:tab w:val="left" w:pos="2160"/>
          <w:tab w:val="left" w:pos="2880"/>
          <w:tab w:val="left" w:pos="3600"/>
        </w:tabs>
        <w:rPr>
          <w:sz w:val="22"/>
          <w:szCs w:val="22"/>
        </w:rPr>
      </w:pPr>
      <w:r>
        <w:rPr>
          <w:sz w:val="22"/>
          <w:szCs w:val="22"/>
        </w:rPr>
        <w:t>AMENDED:</w:t>
      </w:r>
    </w:p>
    <w:p w14:paraId="0A9A766C" w14:textId="77777777" w:rsidR="007D0288" w:rsidRPr="0006429E" w:rsidRDefault="007D0288" w:rsidP="007D0288">
      <w:pPr>
        <w:tabs>
          <w:tab w:val="left" w:pos="720"/>
          <w:tab w:val="left" w:pos="1440"/>
          <w:tab w:val="left" w:pos="2160"/>
          <w:tab w:val="left" w:pos="2880"/>
          <w:tab w:val="left" w:pos="3600"/>
        </w:tabs>
        <w:rPr>
          <w:sz w:val="22"/>
          <w:szCs w:val="22"/>
        </w:rPr>
      </w:pPr>
      <w:r>
        <w:rPr>
          <w:sz w:val="22"/>
          <w:szCs w:val="22"/>
        </w:rPr>
        <w:tab/>
        <w:t>October 11, 2009 – filing 2009-535</w:t>
      </w:r>
    </w:p>
    <w:p w14:paraId="62BDBA7D" w14:textId="77777777" w:rsidR="007D0288" w:rsidRDefault="007D0288" w:rsidP="007D0288">
      <w:pPr>
        <w:tabs>
          <w:tab w:val="left" w:pos="720"/>
          <w:tab w:val="left" w:pos="1440"/>
          <w:tab w:val="left" w:pos="2160"/>
          <w:tab w:val="left" w:pos="2880"/>
          <w:tab w:val="left" w:pos="3600"/>
        </w:tabs>
        <w:rPr>
          <w:sz w:val="22"/>
          <w:szCs w:val="22"/>
        </w:rPr>
      </w:pPr>
    </w:p>
    <w:p w14:paraId="23A84286" w14:textId="77777777" w:rsidR="007D0288" w:rsidRDefault="007D0288" w:rsidP="007D0288">
      <w:pPr>
        <w:tabs>
          <w:tab w:val="left" w:pos="720"/>
          <w:tab w:val="left" w:pos="1440"/>
          <w:tab w:val="left" w:pos="2160"/>
          <w:tab w:val="left" w:pos="2880"/>
          <w:tab w:val="left" w:pos="3600"/>
        </w:tabs>
        <w:rPr>
          <w:sz w:val="22"/>
          <w:szCs w:val="22"/>
        </w:rPr>
      </w:pPr>
      <w:r>
        <w:rPr>
          <w:sz w:val="22"/>
          <w:szCs w:val="22"/>
        </w:rPr>
        <w:t>REPEALED AND REPLACED:</w:t>
      </w:r>
    </w:p>
    <w:p w14:paraId="090CE4DA" w14:textId="77777777" w:rsidR="007D0288" w:rsidRDefault="007D0288" w:rsidP="007D0288">
      <w:pPr>
        <w:tabs>
          <w:tab w:val="left" w:pos="720"/>
          <w:tab w:val="left" w:pos="1440"/>
          <w:tab w:val="left" w:pos="2160"/>
          <w:tab w:val="left" w:pos="2880"/>
          <w:tab w:val="left" w:pos="3600"/>
        </w:tabs>
        <w:rPr>
          <w:sz w:val="22"/>
          <w:szCs w:val="22"/>
        </w:rPr>
      </w:pPr>
      <w:r>
        <w:rPr>
          <w:sz w:val="22"/>
          <w:szCs w:val="22"/>
        </w:rPr>
        <w:tab/>
        <w:t>August 18, 2014 – filing 2014-171</w:t>
      </w:r>
    </w:p>
    <w:p w14:paraId="4EB42E53" w14:textId="77777777" w:rsidR="007D0288" w:rsidRDefault="007D0288" w:rsidP="007D0288">
      <w:pPr>
        <w:tabs>
          <w:tab w:val="left" w:pos="720"/>
          <w:tab w:val="left" w:pos="1440"/>
          <w:tab w:val="left" w:pos="2160"/>
          <w:tab w:val="left" w:pos="2880"/>
          <w:tab w:val="left" w:pos="3600"/>
        </w:tabs>
        <w:rPr>
          <w:sz w:val="22"/>
          <w:szCs w:val="22"/>
        </w:rPr>
      </w:pPr>
    </w:p>
    <w:p w14:paraId="716209A8" w14:textId="77777777" w:rsidR="007D0288" w:rsidRDefault="007D0288" w:rsidP="007D0288">
      <w:pPr>
        <w:tabs>
          <w:tab w:val="left" w:pos="720"/>
          <w:tab w:val="left" w:pos="1440"/>
          <w:tab w:val="left" w:pos="2160"/>
          <w:tab w:val="left" w:pos="2880"/>
          <w:tab w:val="left" w:pos="3600"/>
        </w:tabs>
        <w:rPr>
          <w:sz w:val="22"/>
          <w:szCs w:val="22"/>
        </w:rPr>
      </w:pPr>
      <w:r>
        <w:rPr>
          <w:sz w:val="22"/>
          <w:szCs w:val="22"/>
        </w:rPr>
        <w:t>AMENDED:</w:t>
      </w:r>
    </w:p>
    <w:p w14:paraId="59195443" w14:textId="77777777" w:rsidR="007D0288" w:rsidRDefault="007D0288" w:rsidP="007D0288">
      <w:pPr>
        <w:tabs>
          <w:tab w:val="left" w:pos="720"/>
          <w:tab w:val="left" w:pos="1440"/>
          <w:tab w:val="left" w:pos="2160"/>
          <w:tab w:val="left" w:pos="2880"/>
          <w:tab w:val="left" w:pos="3600"/>
        </w:tabs>
        <w:rPr>
          <w:sz w:val="22"/>
          <w:szCs w:val="22"/>
        </w:rPr>
      </w:pPr>
      <w:r>
        <w:rPr>
          <w:sz w:val="22"/>
          <w:szCs w:val="22"/>
        </w:rPr>
        <w:lastRenderedPageBreak/>
        <w:tab/>
        <w:t>September 1, 2018 – filing 2018-125</w:t>
      </w:r>
    </w:p>
    <w:p w14:paraId="717227A3" w14:textId="77777777" w:rsidR="00D83940" w:rsidRDefault="00D83940" w:rsidP="00D83940"/>
    <w:p w14:paraId="43677BF2" w14:textId="77777777" w:rsidR="00D83940" w:rsidRDefault="00D83940" w:rsidP="00D83940">
      <w:r>
        <w:t>AMENDED:</w:t>
      </w:r>
    </w:p>
    <w:p w14:paraId="740AC3C2" w14:textId="77777777" w:rsidR="00D83940" w:rsidRDefault="00D83940" w:rsidP="00D83940">
      <w:r>
        <w:tab/>
        <w:t>December 16, 2023 – filing 2023-248</w:t>
      </w:r>
    </w:p>
    <w:p w14:paraId="740D4730" w14:textId="77777777" w:rsidR="00D83940" w:rsidRDefault="00D83940"/>
    <w:sectPr w:rsidR="00D83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D16"/>
    <w:rsid w:val="00631D16"/>
    <w:rsid w:val="007D0288"/>
    <w:rsid w:val="009E3558"/>
    <w:rsid w:val="00BF0903"/>
    <w:rsid w:val="00D83940"/>
    <w:rsid w:val="00DD352A"/>
    <w:rsid w:val="00DF2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6903F"/>
  <w15:chartTrackingRefBased/>
  <w15:docId w15:val="{13EE4310-20D8-4F3E-88BB-CFF1DA59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D16"/>
    <w:pPr>
      <w:widowControl w:val="0"/>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631D1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1D16"/>
    <w:pPr>
      <w:tabs>
        <w:tab w:val="center" w:pos="4320"/>
        <w:tab w:val="right" w:pos="8640"/>
      </w:tabs>
    </w:pPr>
  </w:style>
  <w:style w:type="character" w:customStyle="1" w:styleId="HeaderChar">
    <w:name w:val="Header Char"/>
    <w:basedOn w:val="DefaultParagraphFont"/>
    <w:link w:val="Header"/>
    <w:uiPriority w:val="99"/>
    <w:rsid w:val="00631D16"/>
    <w:rPr>
      <w:rFonts w:ascii="Arial" w:eastAsia="Times New Roman" w:hAnsi="Arial" w:cs="Times New Roman"/>
      <w:sz w:val="24"/>
      <w:szCs w:val="20"/>
    </w:rPr>
  </w:style>
  <w:style w:type="paragraph" w:customStyle="1" w:styleId="RulesHeading1">
    <w:name w:val="Rules Heading 1"/>
    <w:basedOn w:val="Heading1"/>
    <w:link w:val="RulesHeading1Char"/>
    <w:qFormat/>
    <w:rsid w:val="00631D16"/>
    <w:pPr>
      <w:keepNext w:val="0"/>
      <w:keepLines w:val="0"/>
      <w:widowControl/>
      <w:tabs>
        <w:tab w:val="left" w:pos="-1440"/>
      </w:tabs>
      <w:spacing w:before="0"/>
      <w:ind w:left="2160" w:hanging="2160"/>
    </w:pPr>
    <w:rPr>
      <w:rFonts w:ascii="Times New Roman" w:eastAsia="Times New Roman" w:hAnsi="Times New Roman" w:cs="Times New Roman"/>
      <w:b/>
      <w:sz w:val="24"/>
      <w:szCs w:val="24"/>
    </w:rPr>
  </w:style>
  <w:style w:type="character" w:customStyle="1" w:styleId="RulesHeading1Char">
    <w:name w:val="Rules Heading 1 Char"/>
    <w:basedOn w:val="Heading1Char"/>
    <w:link w:val="RulesHeading1"/>
    <w:rsid w:val="00631D16"/>
    <w:rPr>
      <w:rFonts w:ascii="Times New Roman" w:eastAsia="Times New Roman" w:hAnsi="Times New Roman" w:cs="Times New Roman"/>
      <w:b/>
      <w:color w:val="2F5496" w:themeColor="accent1" w:themeShade="BF"/>
      <w:sz w:val="24"/>
      <w:szCs w:val="24"/>
    </w:rPr>
  </w:style>
  <w:style w:type="character" w:customStyle="1" w:styleId="Heading1Char">
    <w:name w:val="Heading 1 Char"/>
    <w:basedOn w:val="DefaultParagraphFont"/>
    <w:link w:val="Heading1"/>
    <w:uiPriority w:val="9"/>
    <w:rsid w:val="00631D16"/>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D83940"/>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519</Words>
  <Characters>2964</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Rohde, John</dc:creator>
  <cp:keywords/>
  <dc:description/>
  <cp:lastModifiedBy>Parr, J.Chris</cp:lastModifiedBy>
  <cp:revision>5</cp:revision>
  <cp:lastPrinted>2023-11-28T13:46:00Z</cp:lastPrinted>
  <dcterms:created xsi:type="dcterms:W3CDTF">2023-11-28T13:46:00Z</dcterms:created>
  <dcterms:modified xsi:type="dcterms:W3CDTF">2024-07-15T15:12:00Z</dcterms:modified>
</cp:coreProperties>
</file>